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9F5C" w14:textId="46955BFF" w:rsidR="00DD4E17" w:rsidRPr="006E2FF0" w:rsidRDefault="00DD4E17" w:rsidP="00DD4E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F0">
        <w:rPr>
          <w:rFonts w:ascii="Times New Roman" w:hAnsi="Times New Roman" w:cs="Times New Roman"/>
          <w:b/>
          <w:sz w:val="24"/>
          <w:szCs w:val="24"/>
        </w:rPr>
        <w:t>M</w:t>
      </w:r>
      <w:r w:rsidR="005428BF">
        <w:rPr>
          <w:rFonts w:ascii="Times New Roman" w:hAnsi="Times New Roman" w:cs="Times New Roman"/>
          <w:b/>
          <w:sz w:val="24"/>
          <w:szCs w:val="24"/>
        </w:rPr>
        <w:t xml:space="preserve">emorandum </w:t>
      </w:r>
      <w:r w:rsidR="009300A1">
        <w:rPr>
          <w:rFonts w:ascii="Times New Roman" w:hAnsi="Times New Roman" w:cs="Times New Roman"/>
          <w:b/>
          <w:sz w:val="24"/>
          <w:szCs w:val="24"/>
        </w:rPr>
        <w:t>o</w:t>
      </w:r>
      <w:r w:rsidR="005428BF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6E2FF0">
        <w:rPr>
          <w:rFonts w:ascii="Times New Roman" w:hAnsi="Times New Roman" w:cs="Times New Roman"/>
          <w:b/>
          <w:sz w:val="24"/>
          <w:szCs w:val="24"/>
        </w:rPr>
        <w:t>A</w:t>
      </w:r>
      <w:r w:rsidR="005428BF">
        <w:rPr>
          <w:rFonts w:ascii="Times New Roman" w:hAnsi="Times New Roman" w:cs="Times New Roman"/>
          <w:b/>
          <w:sz w:val="24"/>
          <w:szCs w:val="24"/>
        </w:rPr>
        <w:t>greement (MOA)</w:t>
      </w:r>
      <w:r w:rsidRPr="006E2FF0">
        <w:rPr>
          <w:rFonts w:ascii="Times New Roman" w:hAnsi="Times New Roman" w:cs="Times New Roman"/>
          <w:b/>
          <w:sz w:val="24"/>
          <w:szCs w:val="24"/>
        </w:rPr>
        <w:t xml:space="preserve"> Template for Joint or Interdisciplinary Appointment</w:t>
      </w:r>
    </w:p>
    <w:p w14:paraId="5A30466A" w14:textId="77777777" w:rsidR="00DD4E17" w:rsidRPr="006E2FF0" w:rsidRDefault="00DD4E17" w:rsidP="00DD4E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F0">
        <w:rPr>
          <w:rFonts w:ascii="Times New Roman" w:hAnsi="Times New Roman" w:cs="Times New Roman"/>
          <w:b/>
          <w:sz w:val="24"/>
          <w:szCs w:val="24"/>
        </w:rPr>
        <w:t>Office of the Provost</w:t>
      </w:r>
    </w:p>
    <w:p w14:paraId="090A40FB" w14:textId="77777777" w:rsidR="00DD4E17" w:rsidRPr="006E2FF0" w:rsidRDefault="00DD4E17" w:rsidP="00DD4E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F0">
        <w:rPr>
          <w:rFonts w:ascii="Times New Roman" w:hAnsi="Times New Roman" w:cs="Times New Roman"/>
          <w:b/>
          <w:sz w:val="24"/>
          <w:szCs w:val="24"/>
        </w:rPr>
        <w:t>June 2023</w:t>
      </w:r>
    </w:p>
    <w:p w14:paraId="696B82F2" w14:textId="77777777" w:rsidR="00DD4E17" w:rsidRPr="006E2FF0" w:rsidRDefault="00DD4E17" w:rsidP="00DD4E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B6CBB" w14:textId="3AB94FD6" w:rsidR="00DD4E17" w:rsidRPr="006E2FF0" w:rsidRDefault="00DD4E17" w:rsidP="00DD4E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FF0">
        <w:rPr>
          <w:rFonts w:ascii="Times New Roman" w:hAnsi="Times New Roman" w:cs="Times New Roman"/>
          <w:sz w:val="24"/>
          <w:szCs w:val="24"/>
        </w:rPr>
        <w:t xml:space="preserve">To facilitate joint or interdisciplinary appointments, a template for an MOA is provided below.  </w:t>
      </w:r>
      <w:r w:rsidR="00B54956" w:rsidRPr="006E2FF0">
        <w:rPr>
          <w:rFonts w:ascii="Times New Roman" w:hAnsi="Times New Roman" w:cs="Times New Roman"/>
          <w:sz w:val="24"/>
          <w:szCs w:val="24"/>
        </w:rPr>
        <w:t>Although</w:t>
      </w:r>
      <w:r w:rsidRPr="006E2FF0">
        <w:rPr>
          <w:rFonts w:ascii="Times New Roman" w:hAnsi="Times New Roman" w:cs="Times New Roman"/>
          <w:sz w:val="24"/>
          <w:szCs w:val="24"/>
        </w:rPr>
        <w:t xml:space="preserve"> a list of issues and guidelines </w:t>
      </w:r>
      <w:r w:rsidR="001A086C">
        <w:rPr>
          <w:rFonts w:ascii="Times New Roman" w:hAnsi="Times New Roman" w:cs="Times New Roman"/>
          <w:sz w:val="24"/>
          <w:szCs w:val="24"/>
        </w:rPr>
        <w:t>is</w:t>
      </w:r>
      <w:r w:rsidRPr="006E2FF0">
        <w:rPr>
          <w:rFonts w:ascii="Times New Roman" w:hAnsi="Times New Roman" w:cs="Times New Roman"/>
          <w:sz w:val="24"/>
          <w:szCs w:val="24"/>
        </w:rPr>
        <w:t xml:space="preserve"> provided, not all issues may apply to each appointment, and the terms are flexible and may be customized for each faculty member.  An MOA is:</w:t>
      </w:r>
    </w:p>
    <w:p w14:paraId="6BD73492" w14:textId="2C36F736" w:rsidR="00DD4E17" w:rsidRPr="006E2FF0" w:rsidRDefault="00DD4E17" w:rsidP="00DD4E17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FF0">
        <w:rPr>
          <w:rFonts w:ascii="Times New Roman" w:hAnsi="Times New Roman" w:cs="Times New Roman"/>
          <w:sz w:val="24"/>
          <w:szCs w:val="24"/>
        </w:rPr>
        <w:t>si</w:t>
      </w:r>
      <w:r w:rsidR="008E2245">
        <w:rPr>
          <w:rFonts w:ascii="Times New Roman" w:hAnsi="Times New Roman" w:cs="Times New Roman"/>
          <w:sz w:val="24"/>
          <w:szCs w:val="24"/>
        </w:rPr>
        <w:t>gned by the faculty member and C</w:t>
      </w:r>
      <w:r w:rsidRPr="006E2FF0">
        <w:rPr>
          <w:rFonts w:ascii="Times New Roman" w:hAnsi="Times New Roman" w:cs="Times New Roman"/>
          <w:sz w:val="24"/>
          <w:szCs w:val="24"/>
        </w:rPr>
        <w:t>hairs, in addition to Deans/Directors of Institute or Center/EVP</w:t>
      </w:r>
    </w:p>
    <w:p w14:paraId="657DEA2D" w14:textId="12672DC5" w:rsidR="00764A8A" w:rsidRPr="006E2FF0" w:rsidRDefault="00DD4E17" w:rsidP="00DD4E17">
      <w:pPr>
        <w:pStyle w:val="ListParagraph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FF0">
        <w:rPr>
          <w:rFonts w:ascii="Times New Roman" w:hAnsi="Times New Roman" w:cs="Times New Roman"/>
          <w:sz w:val="24"/>
          <w:szCs w:val="24"/>
        </w:rPr>
        <w:t>submitted to Office of the Provost</w:t>
      </w:r>
    </w:p>
    <w:p w14:paraId="7CFF7337" w14:textId="77777777" w:rsidR="00DD4E17" w:rsidRDefault="00DD4E17" w:rsidP="00D410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40973" w14:textId="0F20CAEE" w:rsidR="00DD4E17" w:rsidRDefault="00DD4E17" w:rsidP="00D410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5B5F8" w14:textId="73F2DD0F" w:rsidR="006E2FF0" w:rsidRDefault="006E2FF0" w:rsidP="00D410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63F99" w14:textId="77777777" w:rsidR="006E2FF0" w:rsidRPr="006E2FF0" w:rsidRDefault="006E2FF0" w:rsidP="006E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F0">
        <w:rPr>
          <w:rFonts w:ascii="Times New Roman" w:hAnsi="Times New Roman" w:cs="Times New Roman"/>
          <w:b/>
          <w:sz w:val="24"/>
          <w:szCs w:val="24"/>
        </w:rPr>
        <w:t>TEMPLATE STARTS HERE</w:t>
      </w:r>
    </w:p>
    <w:p w14:paraId="33529A50" w14:textId="77777777" w:rsidR="006E2FF0" w:rsidRPr="006E2FF0" w:rsidRDefault="006E2FF0" w:rsidP="006E2FF0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6E2FF0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Green text is explanatory only, should be removed</w:t>
      </w:r>
    </w:p>
    <w:p w14:paraId="47176CEE" w14:textId="68BAB043" w:rsidR="006E2FF0" w:rsidRDefault="006E2FF0" w:rsidP="00D410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8F752" w14:textId="77777777" w:rsidR="006E2FF0" w:rsidRDefault="006E2FF0" w:rsidP="00D410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B8660" w14:textId="50DA4C1D" w:rsidR="00B36017" w:rsidRPr="00D4108E" w:rsidRDefault="00B36017" w:rsidP="00D4108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Memorandum of Agreement for Joint</w:t>
      </w:r>
      <w:r w:rsidR="00C67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FBC" w:rsidRPr="00D4108E">
        <w:rPr>
          <w:rFonts w:ascii="Times New Roman" w:hAnsi="Times New Roman" w:cs="Times New Roman"/>
          <w:b/>
          <w:sz w:val="24"/>
          <w:szCs w:val="24"/>
        </w:rPr>
        <w:t>or I</w:t>
      </w:r>
      <w:r w:rsidR="007A0EED" w:rsidRPr="00D4108E">
        <w:rPr>
          <w:rFonts w:ascii="Times New Roman" w:hAnsi="Times New Roman" w:cs="Times New Roman"/>
          <w:b/>
          <w:sz w:val="24"/>
          <w:szCs w:val="24"/>
        </w:rPr>
        <w:t>nterdisciplinary</w:t>
      </w:r>
      <w:r w:rsidRPr="00D4108E">
        <w:rPr>
          <w:rFonts w:ascii="Times New Roman" w:hAnsi="Times New Roman" w:cs="Times New Roman"/>
          <w:b/>
          <w:sz w:val="24"/>
          <w:szCs w:val="24"/>
        </w:rPr>
        <w:t xml:space="preserve"> Appointment between the &lt;name</w:t>
      </w:r>
      <w:r w:rsidR="00BE0FBC" w:rsidRPr="00D4108E">
        <w:rPr>
          <w:rFonts w:ascii="Times New Roman" w:hAnsi="Times New Roman" w:cs="Times New Roman"/>
          <w:b/>
          <w:sz w:val="24"/>
          <w:szCs w:val="24"/>
        </w:rPr>
        <w:t>(s)</w:t>
      </w:r>
      <w:r w:rsidRPr="00D4108E">
        <w:rPr>
          <w:rFonts w:ascii="Times New Roman" w:hAnsi="Times New Roman" w:cs="Times New Roman"/>
          <w:b/>
          <w:sz w:val="24"/>
          <w:szCs w:val="24"/>
        </w:rPr>
        <w:t xml:space="preserve"> of School/Department/Institute/Center&gt; and the &lt;name</w:t>
      </w:r>
      <w:r w:rsidR="00BE0FBC" w:rsidRPr="00D4108E">
        <w:rPr>
          <w:rFonts w:ascii="Times New Roman" w:hAnsi="Times New Roman" w:cs="Times New Roman"/>
          <w:b/>
          <w:sz w:val="24"/>
          <w:szCs w:val="24"/>
        </w:rPr>
        <w:t>(s)</w:t>
      </w:r>
      <w:r w:rsidRPr="00D4108E">
        <w:rPr>
          <w:rFonts w:ascii="Times New Roman" w:hAnsi="Times New Roman" w:cs="Times New Roman"/>
          <w:b/>
          <w:sz w:val="24"/>
          <w:szCs w:val="24"/>
        </w:rPr>
        <w:t xml:space="preserve"> of School/Department/Institute/Center&gt;</w:t>
      </w:r>
    </w:p>
    <w:p w14:paraId="71FEE59E" w14:textId="77777777" w:rsidR="008F68E6" w:rsidRDefault="008F68E6" w:rsidP="00D4108E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BC8F2" w14:textId="77777777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&lt;</w:t>
      </w:r>
      <w:r w:rsidR="001A1317" w:rsidRPr="00D4108E">
        <w:rPr>
          <w:rFonts w:ascii="Times New Roman" w:hAnsi="Times New Roman" w:cs="Times New Roman"/>
          <w:b/>
          <w:sz w:val="24"/>
          <w:szCs w:val="24"/>
        </w:rPr>
        <w:t>Faculty’s Name</w:t>
      </w:r>
      <w:r w:rsidR="007A0EED" w:rsidRPr="00D4108E">
        <w:rPr>
          <w:rFonts w:ascii="Times New Roman" w:hAnsi="Times New Roman" w:cs="Times New Roman"/>
          <w:b/>
          <w:sz w:val="24"/>
          <w:szCs w:val="24"/>
        </w:rPr>
        <w:t>&gt;</w:t>
      </w:r>
    </w:p>
    <w:p w14:paraId="7118D124" w14:textId="18C41766" w:rsidR="00B36017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01C3B20" w14:textId="77777777" w:rsidR="008F68E6" w:rsidRPr="00D4108E" w:rsidRDefault="008F68E6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6152DF1" w14:textId="19780688" w:rsidR="00B36017" w:rsidRPr="00EA2477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Title:</w:t>
      </w:r>
      <w:r w:rsidR="00EA2477">
        <w:rPr>
          <w:rFonts w:ascii="Times New Roman" w:hAnsi="Times New Roman" w:cs="Times New Roman"/>
          <w:b/>
          <w:sz w:val="24"/>
          <w:szCs w:val="24"/>
        </w:rPr>
        <w:tab/>
      </w:r>
      <w:r w:rsidR="00764A8A">
        <w:rPr>
          <w:rFonts w:ascii="Times New Roman" w:hAnsi="Times New Roman" w:cs="Times New Roman"/>
          <w:b/>
          <w:sz w:val="24"/>
          <w:szCs w:val="24"/>
        </w:rPr>
        <w:t>Assistant/Associate/</w:t>
      </w:r>
      <w:r w:rsidR="00EA2477">
        <w:rPr>
          <w:rFonts w:ascii="Times New Roman" w:hAnsi="Times New Roman" w:cs="Times New Roman"/>
          <w:sz w:val="24"/>
          <w:szCs w:val="24"/>
        </w:rPr>
        <w:t>Professor of &lt; &gt;</w:t>
      </w:r>
    </w:p>
    <w:p w14:paraId="65903EEE" w14:textId="77777777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69CB1C21" w14:textId="77777777" w:rsidR="00B36017" w:rsidRPr="00EA2477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Home Department</w:t>
      </w:r>
      <w:r w:rsidR="001A1317" w:rsidRPr="00D4108E">
        <w:rPr>
          <w:rFonts w:ascii="Times New Roman" w:hAnsi="Times New Roman" w:cs="Times New Roman"/>
          <w:b/>
          <w:sz w:val="24"/>
          <w:szCs w:val="24"/>
        </w:rPr>
        <w:t>(s)</w:t>
      </w:r>
      <w:r w:rsidRPr="00D410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2477">
        <w:rPr>
          <w:rFonts w:ascii="Times New Roman" w:hAnsi="Times New Roman" w:cs="Times New Roman"/>
          <w:b/>
          <w:sz w:val="24"/>
          <w:szCs w:val="24"/>
        </w:rPr>
        <w:tab/>
      </w:r>
      <w:r w:rsidR="00EA2477">
        <w:rPr>
          <w:rFonts w:ascii="Times New Roman" w:hAnsi="Times New Roman" w:cs="Times New Roman"/>
          <w:sz w:val="24"/>
          <w:szCs w:val="24"/>
        </w:rPr>
        <w:t>Department of &lt; &gt;</w:t>
      </w:r>
    </w:p>
    <w:p w14:paraId="4E02C4C8" w14:textId="5443910D" w:rsidR="00450067" w:rsidRDefault="006714A5" w:rsidP="006714A5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For promotion and tenure, while all the units </w:t>
      </w:r>
      <w:r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will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typically </w:t>
      </w:r>
      <w:r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share responsibility for evaluating all aspects of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Faculty’s</w:t>
      </w:r>
      <w:proofErr w:type="gramEnd"/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</w:t>
      </w:r>
      <w:r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academic activities and performance,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the home (academic) department will handle tenure and promotion and other</w:t>
      </w:r>
      <w:r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responsibilities (e.g., preparation of tenure track dossiers, scheduled reviews</w:t>
      </w:r>
      <w:r w:rsidR="004D54D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).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</w:t>
      </w:r>
    </w:p>
    <w:p w14:paraId="03203177" w14:textId="249C0462" w:rsidR="006714A5" w:rsidRPr="00B03CF2" w:rsidRDefault="00450067" w:rsidP="006714A5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6714A5"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To follow the tenure and promotion processes efficiently across both schools, a best practice is that the home school prepares the nomination, in consultation with the host school (such as list of referees).</w:t>
      </w:r>
    </w:p>
    <w:p w14:paraId="44B19643" w14:textId="77777777" w:rsidR="006714A5" w:rsidRPr="00D4108E" w:rsidRDefault="006714A5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02C3EE50" w14:textId="77777777" w:rsidR="001A1317" w:rsidRPr="00EA2477" w:rsidRDefault="001A13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Host Department(s):</w:t>
      </w:r>
      <w:r w:rsidR="00EA2477">
        <w:rPr>
          <w:rFonts w:ascii="Times New Roman" w:hAnsi="Times New Roman" w:cs="Times New Roman"/>
          <w:b/>
          <w:sz w:val="24"/>
          <w:szCs w:val="24"/>
        </w:rPr>
        <w:tab/>
      </w:r>
      <w:r w:rsidR="00EA2477">
        <w:rPr>
          <w:rFonts w:ascii="Times New Roman" w:hAnsi="Times New Roman" w:cs="Times New Roman"/>
          <w:sz w:val="24"/>
          <w:szCs w:val="24"/>
        </w:rPr>
        <w:t>Department of &lt; &gt;</w:t>
      </w:r>
    </w:p>
    <w:p w14:paraId="319A275D" w14:textId="77777777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01E4EC63" w14:textId="77777777" w:rsidR="00B36017" w:rsidRPr="00EA2477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Admin Department:</w:t>
      </w:r>
      <w:r w:rsidR="00EA2477">
        <w:rPr>
          <w:rFonts w:ascii="Times New Roman" w:hAnsi="Times New Roman" w:cs="Times New Roman"/>
          <w:b/>
          <w:sz w:val="24"/>
          <w:szCs w:val="24"/>
        </w:rPr>
        <w:tab/>
      </w:r>
      <w:r w:rsidR="00EA2477">
        <w:rPr>
          <w:rFonts w:ascii="Times New Roman" w:hAnsi="Times New Roman" w:cs="Times New Roman"/>
          <w:sz w:val="24"/>
          <w:szCs w:val="24"/>
        </w:rPr>
        <w:t>Department of &lt; &gt;</w:t>
      </w:r>
    </w:p>
    <w:p w14:paraId="0FC6A4F3" w14:textId="23D97954" w:rsidR="004D54D3" w:rsidRDefault="009E2A3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 w:rsidRPr="009E2A3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450067" w:rsidRPr="00450067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If the unit is </w:t>
      </w:r>
      <w:r w:rsidR="001F415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Institute or C</w:t>
      </w:r>
      <w:r w:rsidR="00450067" w:rsidRPr="00450067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enter, admin</w:t>
      </w:r>
      <w:r w:rsidR="00450067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istrative</w:t>
      </w:r>
      <w:r w:rsidR="00450067" w:rsidRPr="00450067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department will be </w:t>
      </w:r>
      <w:r w:rsidR="004D54D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with</w:t>
      </w:r>
      <w:r w:rsidR="00450067" w:rsidRPr="00450067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in </w:t>
      </w:r>
      <w:r w:rsidR="004D54D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the </w:t>
      </w:r>
      <w:r w:rsidR="001F415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Institute/C</w:t>
      </w:r>
      <w:r w:rsidR="00450067" w:rsidRPr="00450067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ente</w:t>
      </w:r>
      <w:r w:rsidR="004D54D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r.</w:t>
      </w:r>
    </w:p>
    <w:p w14:paraId="2F9BA548" w14:textId="77777777" w:rsidR="004D54D3" w:rsidRDefault="004D54D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</w:p>
    <w:p w14:paraId="17FE3F50" w14:textId="01208EB5" w:rsidR="000F4E40" w:rsidRDefault="00D06400" w:rsidP="000F4E40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lastRenderedPageBreak/>
        <w:tab/>
      </w:r>
      <w:r w:rsidR="006714A5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The administrative department is responsible for all</w:t>
      </w:r>
      <w:r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HR transactions such as annual appointments, salary </w:t>
      </w:r>
      <w:r w:rsidR="006714A5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increases</w:t>
      </w:r>
      <w:r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, leaves,</w:t>
      </w:r>
      <w:r w:rsidR="006714A5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visa processing,</w:t>
      </w:r>
      <w:r w:rsidRPr="00D06400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etc.)</w:t>
      </w:r>
      <w:r w:rsidR="002D11FD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.</w:t>
      </w:r>
    </w:p>
    <w:p w14:paraId="1FC3B6D4" w14:textId="3C900D46" w:rsidR="009E2A33" w:rsidRPr="00B03CF2" w:rsidRDefault="000F4E40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</w:p>
    <w:p w14:paraId="32499FDC" w14:textId="53B46A02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Salary:</w:t>
      </w:r>
      <w:r w:rsidR="00CD77B5" w:rsidRPr="00D4108E">
        <w:rPr>
          <w:rFonts w:ascii="Times New Roman" w:hAnsi="Times New Roman" w:cs="Times New Roman"/>
          <w:b/>
          <w:sz w:val="24"/>
          <w:szCs w:val="24"/>
        </w:rPr>
        <w:tab/>
      </w:r>
      <w:r w:rsidR="00CD77B5" w:rsidRPr="00D4108E">
        <w:rPr>
          <w:rFonts w:ascii="Times New Roman" w:hAnsi="Times New Roman" w:cs="Times New Roman"/>
          <w:sz w:val="24"/>
          <w:szCs w:val="24"/>
        </w:rPr>
        <w:t xml:space="preserve">The </w:t>
      </w:r>
      <w:r w:rsidR="00782BF8" w:rsidRPr="00D4108E">
        <w:rPr>
          <w:rFonts w:ascii="Times New Roman" w:hAnsi="Times New Roman" w:cs="Times New Roman"/>
          <w:sz w:val="24"/>
          <w:szCs w:val="24"/>
        </w:rPr>
        <w:t>&lt;</w:t>
      </w:r>
      <w:r w:rsidR="001A1317" w:rsidRPr="00D4108E">
        <w:rPr>
          <w:rFonts w:ascii="Times New Roman" w:hAnsi="Times New Roman" w:cs="Times New Roman"/>
          <w:sz w:val="24"/>
          <w:szCs w:val="24"/>
        </w:rPr>
        <w:t>Department/Sc</w:t>
      </w:r>
      <w:r w:rsidR="00CD77B5" w:rsidRPr="00D4108E">
        <w:rPr>
          <w:rFonts w:ascii="Times New Roman" w:hAnsi="Times New Roman" w:cs="Times New Roman"/>
          <w:sz w:val="24"/>
          <w:szCs w:val="24"/>
        </w:rPr>
        <w:t>hool/</w:t>
      </w:r>
      <w:r w:rsidR="001A1317" w:rsidRPr="00D4108E">
        <w:rPr>
          <w:rFonts w:ascii="Times New Roman" w:hAnsi="Times New Roman" w:cs="Times New Roman"/>
          <w:sz w:val="24"/>
          <w:szCs w:val="24"/>
        </w:rPr>
        <w:t>Institute/Center</w:t>
      </w:r>
      <w:r w:rsidR="00782BF8" w:rsidRPr="00D4108E">
        <w:rPr>
          <w:rFonts w:ascii="Times New Roman" w:hAnsi="Times New Roman" w:cs="Times New Roman"/>
          <w:sz w:val="24"/>
          <w:szCs w:val="24"/>
        </w:rPr>
        <w:t>&gt;</w:t>
      </w:r>
      <w:r w:rsidR="00CD77B5" w:rsidRPr="00D4108E">
        <w:rPr>
          <w:rFonts w:ascii="Times New Roman" w:hAnsi="Times New Roman" w:cs="Times New Roman"/>
          <w:sz w:val="24"/>
          <w:szCs w:val="24"/>
        </w:rPr>
        <w:t xml:space="preserve"> w</w:t>
      </w:r>
      <w:r w:rsidR="00195336">
        <w:rPr>
          <w:rFonts w:ascii="Times New Roman" w:hAnsi="Times New Roman" w:cs="Times New Roman"/>
          <w:sz w:val="24"/>
          <w:szCs w:val="24"/>
        </w:rPr>
        <w:t>ill be responsible for Prof.</w:t>
      </w:r>
      <w:r w:rsidR="00CD77B5" w:rsidRPr="00D4108E">
        <w:rPr>
          <w:rFonts w:ascii="Times New Roman" w:hAnsi="Times New Roman" w:cs="Times New Roman"/>
          <w:sz w:val="24"/>
          <w:szCs w:val="24"/>
        </w:rPr>
        <w:t>/Dr.</w:t>
      </w:r>
      <w:r w:rsidR="00782BF8" w:rsidRPr="00D4108E">
        <w:rPr>
          <w:rFonts w:ascii="Times New Roman" w:hAnsi="Times New Roman" w:cs="Times New Roman"/>
          <w:sz w:val="24"/>
          <w:szCs w:val="24"/>
        </w:rPr>
        <w:t xml:space="preserve"> XXX</w:t>
      </w:r>
      <w:r w:rsidR="00CD77B5" w:rsidRPr="00D4108E">
        <w:rPr>
          <w:rFonts w:ascii="Times New Roman" w:hAnsi="Times New Roman" w:cs="Times New Roman"/>
          <w:sz w:val="24"/>
          <w:szCs w:val="24"/>
        </w:rPr>
        <w:t>’s salary</w:t>
      </w:r>
      <w:r w:rsidR="00BD226C">
        <w:rPr>
          <w:rFonts w:ascii="Times New Roman" w:hAnsi="Times New Roman" w:cs="Times New Roman"/>
          <w:sz w:val="24"/>
          <w:szCs w:val="24"/>
        </w:rPr>
        <w:t xml:space="preserve"> and fringe costs</w:t>
      </w:r>
      <w:r w:rsidR="00CD77B5" w:rsidRPr="00D4108E">
        <w:rPr>
          <w:rFonts w:ascii="Times New Roman" w:hAnsi="Times New Roman" w:cs="Times New Roman"/>
          <w:sz w:val="24"/>
          <w:szCs w:val="24"/>
        </w:rPr>
        <w:t>.</w:t>
      </w:r>
    </w:p>
    <w:p w14:paraId="4D868147" w14:textId="06630E4B" w:rsidR="00B36017" w:rsidRDefault="009E2A3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9E2A33">
        <w:rPr>
          <w:rFonts w:ascii="Times New Roman" w:hAnsi="Times New Roman" w:cs="Times New Roman"/>
          <w:b/>
          <w:sz w:val="24"/>
          <w:szCs w:val="24"/>
        </w:rPr>
        <w:t>-</w:t>
      </w:r>
      <w:r w:rsidRPr="009E2A33">
        <w:rPr>
          <w:rFonts w:ascii="Times New Roman" w:hAnsi="Times New Roman" w:cs="Times New Roman"/>
          <w:b/>
          <w:sz w:val="24"/>
          <w:szCs w:val="24"/>
        </w:rPr>
        <w:tab/>
      </w:r>
      <w:r w:rsidR="005428BF" w:rsidRPr="00DA2DE9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If the faculty member’s salary will be split between</w:t>
      </w:r>
      <w:r w:rsidR="00574984" w:rsidRPr="00DA2DE9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multiple units, indicate the percentage each &lt;Department/School/Institute/Center&gt; is responsible for.</w:t>
      </w:r>
      <w:r w:rsidR="00574984" w:rsidRPr="00D4108E">
        <w:rPr>
          <w:rFonts w:ascii="Times New Roman" w:hAnsi="Times New Roman" w:cs="Times New Roman"/>
          <w:sz w:val="24"/>
          <w:szCs w:val="24"/>
        </w:rPr>
        <w:t xml:space="preserve"> </w:t>
      </w:r>
      <w:r w:rsidR="0066341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R</w:t>
      </w:r>
      <w:r w:rsidRPr="009E2A3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aises are </w:t>
      </w:r>
      <w:r w:rsidR="0066341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usually </w:t>
      </w:r>
      <w:r w:rsidRPr="009E2A3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determined</w:t>
      </w:r>
      <w:r w:rsidR="0066341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by the Home Department/School, notifying the Host Department(s)/School(s).</w:t>
      </w:r>
    </w:p>
    <w:p w14:paraId="3C1A7023" w14:textId="77777777" w:rsidR="009E2A33" w:rsidRPr="00D4108E" w:rsidRDefault="009E2A3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5D4CC568" w14:textId="4B53B8D3" w:rsidR="00B36017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 xml:space="preserve">Space: </w:t>
      </w:r>
      <w:r w:rsidRPr="00D4108E">
        <w:rPr>
          <w:rFonts w:ascii="Times New Roman" w:hAnsi="Times New Roman" w:cs="Times New Roman"/>
          <w:b/>
          <w:sz w:val="24"/>
          <w:szCs w:val="24"/>
        </w:rPr>
        <w:tab/>
      </w:r>
      <w:r w:rsidR="00782BF8" w:rsidRPr="00D4108E">
        <w:rPr>
          <w:rFonts w:ascii="Times New Roman" w:hAnsi="Times New Roman" w:cs="Times New Roman"/>
          <w:sz w:val="24"/>
          <w:szCs w:val="24"/>
        </w:rPr>
        <w:t xml:space="preserve">The &lt;Department/School/Institute/Center&gt; will be responsible for </w:t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5D517E" w:rsidRPr="00D4108E">
        <w:rPr>
          <w:rFonts w:ascii="Times New Roman" w:hAnsi="Times New Roman" w:cs="Times New Roman"/>
          <w:sz w:val="24"/>
          <w:szCs w:val="24"/>
        </w:rPr>
        <w:t>’s space</w:t>
      </w:r>
      <w:r w:rsidRPr="00D4108E">
        <w:rPr>
          <w:rFonts w:ascii="Times New Roman" w:hAnsi="Times New Roman" w:cs="Times New Roman"/>
          <w:sz w:val="24"/>
          <w:szCs w:val="24"/>
        </w:rPr>
        <w:t>.</w:t>
      </w:r>
    </w:p>
    <w:p w14:paraId="0FE0EDDC" w14:textId="6F07D6FB" w:rsidR="0074682A" w:rsidRPr="0074682A" w:rsidRDefault="00663413" w:rsidP="00663413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  <w:t xml:space="preserve">In addition to </w:t>
      </w:r>
      <w:r w:rsidR="0074682A"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lab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space, space for the faculty’s office, and </w:t>
      </w:r>
      <w:r w:rsidR="0074682A"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desks for postdoctoral research scientists or graduate students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can be described.</w:t>
      </w:r>
    </w:p>
    <w:p w14:paraId="4311D721" w14:textId="77777777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1E76EE66" w14:textId="5B5762DE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Duties:</w:t>
      </w:r>
      <w:r w:rsidRPr="00D4108E">
        <w:rPr>
          <w:rFonts w:ascii="Times New Roman" w:hAnsi="Times New Roman" w:cs="Times New Roman"/>
          <w:b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 xml:space="preserve">In </w:t>
      </w:r>
      <w:r w:rsidR="007A0EED" w:rsidRPr="00D4108E">
        <w:rPr>
          <w:rFonts w:ascii="Times New Roman" w:hAnsi="Times New Roman" w:cs="Times New Roman"/>
          <w:sz w:val="24"/>
          <w:szCs w:val="24"/>
        </w:rPr>
        <w:t xml:space="preserve">the </w:t>
      </w:r>
      <w:r w:rsidR="00782BF8" w:rsidRPr="00D4108E">
        <w:rPr>
          <w:rFonts w:ascii="Times New Roman" w:hAnsi="Times New Roman" w:cs="Times New Roman"/>
          <w:sz w:val="24"/>
          <w:szCs w:val="24"/>
        </w:rPr>
        <w:t xml:space="preserve">&lt;Department/School/Institute/Center&gt; </w:t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782BF8" w:rsidRPr="00D4108E">
        <w:rPr>
          <w:rFonts w:ascii="Times New Roman" w:hAnsi="Times New Roman" w:cs="Times New Roman"/>
          <w:sz w:val="24"/>
          <w:szCs w:val="24"/>
        </w:rPr>
        <w:t xml:space="preserve"> </w:t>
      </w:r>
      <w:r w:rsidRPr="00D4108E">
        <w:rPr>
          <w:rFonts w:ascii="Times New Roman" w:hAnsi="Times New Roman" w:cs="Times New Roman"/>
          <w:sz w:val="24"/>
          <w:szCs w:val="24"/>
        </w:rPr>
        <w:t>will maintain his</w:t>
      </w:r>
      <w:r w:rsidR="00322BFC" w:rsidRPr="00D4108E">
        <w:rPr>
          <w:rFonts w:ascii="Times New Roman" w:hAnsi="Times New Roman" w:cs="Times New Roman"/>
          <w:sz w:val="24"/>
          <w:szCs w:val="24"/>
        </w:rPr>
        <w:t>/her</w:t>
      </w:r>
      <w:r w:rsidRPr="00D4108E">
        <w:rPr>
          <w:rFonts w:ascii="Times New Roman" w:hAnsi="Times New Roman" w:cs="Times New Roman"/>
          <w:sz w:val="24"/>
          <w:szCs w:val="24"/>
        </w:rPr>
        <w:t xml:space="preserve"> current research, teaching, and administrative efforts.</w:t>
      </w:r>
      <w:r w:rsidR="0074682A">
        <w:rPr>
          <w:rFonts w:ascii="Times New Roman" w:hAnsi="Times New Roman" w:cs="Times New Roman"/>
          <w:sz w:val="24"/>
          <w:szCs w:val="24"/>
        </w:rPr>
        <w:t xml:space="preserve">  </w:t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74682A">
        <w:rPr>
          <w:rFonts w:ascii="Times New Roman" w:hAnsi="Times New Roman" w:cs="Times New Roman"/>
          <w:sz w:val="24"/>
          <w:szCs w:val="24"/>
        </w:rPr>
        <w:t xml:space="preserve"> will </w:t>
      </w:r>
      <w:r w:rsidR="0074682A" w:rsidRPr="0074682A">
        <w:rPr>
          <w:rFonts w:ascii="Times New Roman" w:hAnsi="Times New Roman" w:cs="Times New Roman"/>
          <w:sz w:val="24"/>
          <w:szCs w:val="24"/>
        </w:rPr>
        <w:t>serve on appropriate committees and train and mentor graduate students</w:t>
      </w:r>
      <w:r w:rsidR="0074682A">
        <w:rPr>
          <w:rFonts w:ascii="Times New Roman" w:hAnsi="Times New Roman" w:cs="Times New Roman"/>
          <w:sz w:val="24"/>
          <w:szCs w:val="24"/>
        </w:rPr>
        <w:t>.</w:t>
      </w:r>
    </w:p>
    <w:p w14:paraId="53A477A0" w14:textId="77777777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78E1448" w14:textId="130885EF" w:rsidR="00B36017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7A0EED" w:rsidRPr="00D4108E">
        <w:rPr>
          <w:rFonts w:ascii="Times New Roman" w:hAnsi="Times New Roman" w:cs="Times New Roman"/>
          <w:sz w:val="24"/>
          <w:szCs w:val="24"/>
        </w:rPr>
        <w:t xml:space="preserve">the </w:t>
      </w:r>
      <w:r w:rsidRPr="00D4108E">
        <w:rPr>
          <w:rFonts w:ascii="Times New Roman" w:hAnsi="Times New Roman" w:cs="Times New Roman"/>
          <w:sz w:val="24"/>
          <w:szCs w:val="24"/>
        </w:rPr>
        <w:t>&lt;</w:t>
      </w:r>
      <w:r w:rsidR="00782BF8" w:rsidRPr="00D4108E">
        <w:rPr>
          <w:rFonts w:ascii="Times New Roman" w:hAnsi="Times New Roman" w:cs="Times New Roman"/>
          <w:sz w:val="24"/>
          <w:szCs w:val="24"/>
        </w:rPr>
        <w:t xml:space="preserve">Department/School/Institute/Center&gt; </w:t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782BF8" w:rsidRPr="00D4108E">
        <w:rPr>
          <w:rFonts w:ascii="Times New Roman" w:hAnsi="Times New Roman" w:cs="Times New Roman"/>
          <w:sz w:val="24"/>
          <w:szCs w:val="24"/>
        </w:rPr>
        <w:t xml:space="preserve"> </w:t>
      </w:r>
      <w:r w:rsidRPr="00D4108E">
        <w:rPr>
          <w:rFonts w:ascii="Times New Roman" w:hAnsi="Times New Roman" w:cs="Times New Roman"/>
          <w:sz w:val="24"/>
          <w:szCs w:val="24"/>
        </w:rPr>
        <w:t>will work on &lt;insert duties&gt;</w:t>
      </w:r>
      <w:r w:rsidR="0074682A">
        <w:rPr>
          <w:rFonts w:ascii="Times New Roman" w:hAnsi="Times New Roman" w:cs="Times New Roman"/>
          <w:sz w:val="24"/>
          <w:szCs w:val="24"/>
        </w:rPr>
        <w:t xml:space="preserve">.  </w:t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74682A" w:rsidRPr="0074682A">
        <w:rPr>
          <w:rFonts w:ascii="Times New Roman" w:hAnsi="Times New Roman" w:cs="Times New Roman"/>
          <w:sz w:val="24"/>
          <w:szCs w:val="24"/>
        </w:rPr>
        <w:t xml:space="preserve"> will serve on appropriate committees and train and mentor graduate students.</w:t>
      </w:r>
    </w:p>
    <w:p w14:paraId="183B060C" w14:textId="097204C2" w:rsidR="0074682A" w:rsidRPr="0074682A" w:rsidRDefault="00663413" w:rsidP="009E2A33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82A"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Administrative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responsibilities include </w:t>
      </w:r>
      <w:r w:rsidR="0074682A"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serving on committees, faculty recruiting, and strategic planning. 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To avoid doubling the load on a faculty member, sometimes it is stated that the duties to each unit will be pro-rated.</w:t>
      </w:r>
    </w:p>
    <w:p w14:paraId="2B63BCD3" w14:textId="779940CB" w:rsidR="0074682A" w:rsidRDefault="0074682A" w:rsidP="009E2A33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  <w:t xml:space="preserve">Teaching </w:t>
      </w:r>
      <w:r w:rsidR="0066341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duties include how many </w:t>
      </w:r>
      <w:r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courses in </w:t>
      </w:r>
      <w:r w:rsidR="0066341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each</w:t>
      </w:r>
      <w:r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department</w:t>
      </w:r>
      <w:r w:rsidR="0066341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Cross-listing of courses is encouraged.</w:t>
      </w:r>
    </w:p>
    <w:p w14:paraId="2C4FA28D" w14:textId="7F7FB3B4" w:rsidR="0074682A" w:rsidRDefault="0074682A" w:rsidP="0074682A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</w:r>
      <w:r w:rsidR="00EA6A0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For m</w:t>
      </w:r>
      <w:r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entoring of graduate students</w:t>
      </w:r>
      <w:r w:rsidR="00EA6A0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, if allowed in multiple departments, sometimes guidance can be given on the expected percentage range of </w:t>
      </w:r>
      <w:r w:rsidRPr="0074682A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externally fun</w:t>
      </w:r>
      <w:r w:rsidR="00EA6A01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ded Ph.D. students in the host department.</w:t>
      </w:r>
    </w:p>
    <w:p w14:paraId="49A5517C" w14:textId="77777777" w:rsidR="00B36017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6633E0E7" w14:textId="4D684CB6" w:rsidR="002872B9" w:rsidRDefault="0037054F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Up</w:t>
      </w:r>
      <w:r w:rsidR="00313E36">
        <w:rPr>
          <w:rFonts w:ascii="Times New Roman" w:hAnsi="Times New Roman" w:cs="Times New Roman"/>
          <w:b/>
          <w:sz w:val="24"/>
          <w:szCs w:val="24"/>
        </w:rPr>
        <w:t xml:space="preserve"> Funds</w:t>
      </w:r>
      <w:r w:rsidR="002872B9">
        <w:rPr>
          <w:rFonts w:ascii="Times New Roman" w:hAnsi="Times New Roman" w:cs="Times New Roman"/>
          <w:b/>
          <w:sz w:val="24"/>
          <w:szCs w:val="24"/>
        </w:rPr>
        <w:t>:</w:t>
      </w:r>
      <w:r w:rsidR="002872B9">
        <w:rPr>
          <w:rFonts w:ascii="Times New Roman" w:hAnsi="Times New Roman" w:cs="Times New Roman"/>
          <w:b/>
          <w:sz w:val="24"/>
          <w:szCs w:val="24"/>
        </w:rPr>
        <w:tab/>
      </w:r>
      <w:r w:rsidR="002872B9" w:rsidRPr="00B363AA">
        <w:rPr>
          <w:rFonts w:ascii="Times New Roman" w:hAnsi="Times New Roman" w:cs="Times New Roman"/>
          <w:sz w:val="24"/>
          <w:szCs w:val="24"/>
        </w:rPr>
        <w:t>The &lt;Department/School/Institute/Center&gt; will provide &lt;</w:t>
      </w:r>
      <w:r w:rsidR="00720A46">
        <w:rPr>
          <w:rFonts w:ascii="Times New Roman" w:hAnsi="Times New Roman" w:cs="Times New Roman"/>
          <w:sz w:val="24"/>
          <w:szCs w:val="24"/>
        </w:rPr>
        <w:t xml:space="preserve">dollar </w:t>
      </w:r>
      <w:r w:rsidR="002872B9" w:rsidRPr="00B363AA">
        <w:rPr>
          <w:rFonts w:ascii="Times New Roman" w:hAnsi="Times New Roman" w:cs="Times New Roman"/>
          <w:sz w:val="24"/>
          <w:szCs w:val="24"/>
        </w:rPr>
        <w:t>amount&gt; in startup funds.</w:t>
      </w:r>
    </w:p>
    <w:p w14:paraId="6F47FC78" w14:textId="2D351621" w:rsidR="0026223F" w:rsidRPr="0026223F" w:rsidRDefault="0026223F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223F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Details of each unit’s contribution, and sources and uses of fu</w:t>
      </w:r>
      <w:r w:rsidR="00313E3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nds, is typically provided in the</w:t>
      </w:r>
      <w:r w:rsidRPr="0026223F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MOU.</w:t>
      </w:r>
    </w:p>
    <w:p w14:paraId="37AD7FC8" w14:textId="77777777" w:rsidR="002872B9" w:rsidRPr="00D4108E" w:rsidRDefault="002872B9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160BDC9F" w14:textId="5A7B91BA" w:rsidR="00720A46" w:rsidRDefault="00720A46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Fund: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195336">
        <w:rPr>
          <w:rFonts w:ascii="Times New Roman" w:hAnsi="Times New Roman" w:cs="Times New Roman"/>
          <w:sz w:val="24"/>
          <w:szCs w:val="24"/>
        </w:rPr>
        <w:t xml:space="preserve"> </w:t>
      </w:r>
      <w:r w:rsidRPr="00B363AA">
        <w:rPr>
          <w:rFonts w:ascii="Times New Roman" w:hAnsi="Times New Roman" w:cs="Times New Roman"/>
          <w:sz w:val="24"/>
          <w:szCs w:val="24"/>
        </w:rPr>
        <w:t xml:space="preserve">will receive a &lt;dollar amount&gt; annual research fund. </w:t>
      </w:r>
    </w:p>
    <w:p w14:paraId="601B85BE" w14:textId="77777777" w:rsidR="00720A46" w:rsidRDefault="009E2A3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A3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If applicable.  </w:t>
      </w:r>
      <w:r w:rsidR="00293286" w:rsidRPr="0029328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Details of </w:t>
      </w:r>
      <w:r w:rsidR="0029328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sources and uses of funds</w:t>
      </w:r>
      <w:r w:rsidR="00293286" w:rsidRPr="0029328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is typically provided in an MOU.</w:t>
      </w:r>
    </w:p>
    <w:p w14:paraId="1AE6BCE4" w14:textId="77777777" w:rsidR="00293286" w:rsidRDefault="00293286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20E93BC4" w14:textId="7888C4A7" w:rsidR="00B36017" w:rsidRDefault="00782BF8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Grants</w:t>
      </w:r>
      <w:r w:rsidR="00B36017" w:rsidRPr="00D4108E">
        <w:rPr>
          <w:rFonts w:ascii="Times New Roman" w:hAnsi="Times New Roman" w:cs="Times New Roman"/>
          <w:b/>
          <w:sz w:val="24"/>
          <w:szCs w:val="24"/>
        </w:rPr>
        <w:t>:</w:t>
      </w:r>
      <w:r w:rsidRPr="00D4108E">
        <w:rPr>
          <w:rFonts w:ascii="Times New Roman" w:hAnsi="Times New Roman" w:cs="Times New Roman"/>
          <w:b/>
          <w:sz w:val="24"/>
          <w:szCs w:val="24"/>
        </w:rPr>
        <w:tab/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Pr="00D4108E">
        <w:rPr>
          <w:rFonts w:ascii="Times New Roman" w:hAnsi="Times New Roman" w:cs="Times New Roman"/>
          <w:sz w:val="24"/>
          <w:szCs w:val="24"/>
        </w:rPr>
        <w:t xml:space="preserve"> research grants and their indirec</w:t>
      </w:r>
      <w:r w:rsidR="00892AF6">
        <w:rPr>
          <w:rFonts w:ascii="Times New Roman" w:hAnsi="Times New Roman" w:cs="Times New Roman"/>
          <w:sz w:val="24"/>
          <w:szCs w:val="24"/>
        </w:rPr>
        <w:t xml:space="preserve">t costs will be managed by the </w:t>
      </w:r>
      <w:r w:rsidRPr="00D4108E">
        <w:rPr>
          <w:rFonts w:ascii="Times New Roman" w:hAnsi="Times New Roman" w:cs="Times New Roman"/>
          <w:sz w:val="24"/>
          <w:szCs w:val="24"/>
        </w:rPr>
        <w:t>&lt;Depar</w:t>
      </w:r>
      <w:r w:rsidR="00892AF6">
        <w:rPr>
          <w:rFonts w:ascii="Times New Roman" w:hAnsi="Times New Roman" w:cs="Times New Roman"/>
          <w:sz w:val="24"/>
          <w:szCs w:val="24"/>
        </w:rPr>
        <w:t>tment/ School/Institute/Center&gt;</w:t>
      </w:r>
      <w:r w:rsidRPr="00D4108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145B81" w14:textId="4A569AC3" w:rsidR="00892AF6" w:rsidRPr="00892AF6" w:rsidRDefault="00892AF6" w:rsidP="00892AF6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AF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Submission and management of grants is</w:t>
      </w:r>
      <w:r w:rsidRPr="00892AF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892AF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normally handled by one department.  For departments representing disparate fields, one could consider managing the grants based on the funding agency.</w:t>
      </w:r>
    </w:p>
    <w:p w14:paraId="56E2FDF6" w14:textId="1568D40E" w:rsidR="00892AF6" w:rsidRPr="00892AF6" w:rsidRDefault="00892AF6" w:rsidP="00892AF6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 w:rsidRPr="00892AF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ab/>
        <w:t>Also discussed sometimes is the school/department where the grants are scoped.</w:t>
      </w:r>
    </w:p>
    <w:p w14:paraId="2EA685E0" w14:textId="77777777" w:rsidR="007A2083" w:rsidRDefault="007A208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4604C6C" w14:textId="40967BB3" w:rsidR="00E37BE7" w:rsidRPr="007A2083" w:rsidRDefault="007A2083" w:rsidP="00892AF6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7BE7" w:rsidRPr="00E37BE7">
        <w:rPr>
          <w:rFonts w:ascii="Times New Roman" w:hAnsi="Times New Roman" w:cs="Times New Roman"/>
          <w:sz w:val="24"/>
          <w:szCs w:val="24"/>
        </w:rPr>
        <w:t xml:space="preserve">All indirect cost recoveries and intellectual property income generated by </w:t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892AF6">
        <w:rPr>
          <w:rFonts w:ascii="Times New Roman" w:hAnsi="Times New Roman" w:cs="Times New Roman"/>
          <w:sz w:val="24"/>
          <w:szCs w:val="24"/>
        </w:rPr>
        <w:t xml:space="preserve"> </w:t>
      </w:r>
      <w:r w:rsidR="00E37BE7" w:rsidRPr="00E37BE7">
        <w:rPr>
          <w:rFonts w:ascii="Times New Roman" w:hAnsi="Times New Roman" w:cs="Times New Roman"/>
          <w:sz w:val="24"/>
          <w:szCs w:val="24"/>
        </w:rPr>
        <w:t xml:space="preserve">will be shared between </w:t>
      </w:r>
      <w:r w:rsidR="00892AF6" w:rsidRPr="00892AF6">
        <w:rPr>
          <w:rFonts w:ascii="Times New Roman" w:hAnsi="Times New Roman" w:cs="Times New Roman"/>
          <w:sz w:val="24"/>
          <w:szCs w:val="24"/>
        </w:rPr>
        <w:t>&lt;Depa</w:t>
      </w:r>
      <w:r w:rsidR="00892AF6">
        <w:rPr>
          <w:rFonts w:ascii="Times New Roman" w:hAnsi="Times New Roman" w:cs="Times New Roman"/>
          <w:sz w:val="24"/>
          <w:szCs w:val="24"/>
        </w:rPr>
        <w:t xml:space="preserve">rtment/School/Institute/Center&gt; and </w:t>
      </w:r>
      <w:r w:rsidR="00892AF6" w:rsidRPr="00892AF6">
        <w:rPr>
          <w:rFonts w:ascii="Times New Roman" w:hAnsi="Times New Roman" w:cs="Times New Roman"/>
          <w:sz w:val="24"/>
          <w:szCs w:val="24"/>
        </w:rPr>
        <w:t xml:space="preserve">&lt;Department/School/Institute/Center&gt; </w:t>
      </w:r>
      <w:r w:rsidR="00E37BE7" w:rsidRPr="00E37BE7">
        <w:rPr>
          <w:rFonts w:ascii="Times New Roman" w:hAnsi="Times New Roman" w:cs="Times New Roman"/>
          <w:sz w:val="24"/>
          <w:szCs w:val="24"/>
        </w:rPr>
        <w:t xml:space="preserve">in proportion to the </w:t>
      </w:r>
      <w:r w:rsidR="00892AF6" w:rsidRPr="00892AF6">
        <w:rPr>
          <w:rFonts w:ascii="Times New Roman" w:hAnsi="Times New Roman" w:cs="Times New Roman"/>
          <w:sz w:val="24"/>
          <w:szCs w:val="24"/>
        </w:rPr>
        <w:t>total financial contributions provided by each school</w:t>
      </w:r>
      <w:r w:rsidR="00E37BE7" w:rsidRPr="00E37BE7">
        <w:rPr>
          <w:rFonts w:ascii="Times New Roman" w:hAnsi="Times New Roman" w:cs="Times New Roman"/>
          <w:sz w:val="24"/>
          <w:szCs w:val="24"/>
        </w:rPr>
        <w:t>, in the year the income is earned (as reflected in the University accounting system)</w:t>
      </w:r>
    </w:p>
    <w:p w14:paraId="60317C06" w14:textId="2C1AC7AD" w:rsidR="00B03CF2" w:rsidRDefault="009E2A3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 w:rsidRPr="009E2A33">
        <w:rPr>
          <w:rFonts w:ascii="Times New Roman" w:hAnsi="Times New Roman" w:cs="Times New Roman"/>
          <w:b/>
          <w:sz w:val="24"/>
          <w:szCs w:val="24"/>
        </w:rPr>
        <w:t>-</w:t>
      </w:r>
      <w:r w:rsidRPr="009E2A33">
        <w:rPr>
          <w:rFonts w:ascii="Times New Roman" w:hAnsi="Times New Roman" w:cs="Times New Roman"/>
          <w:b/>
          <w:sz w:val="24"/>
          <w:szCs w:val="24"/>
        </w:rPr>
        <w:tab/>
      </w:r>
      <w:r w:rsidR="00391A58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I</w:t>
      </w:r>
      <w:r w:rsidR="00892AF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ndirect cost recovery</w:t>
      </w:r>
      <w:r w:rsidR="00391A58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: </w:t>
      </w:r>
      <w:r w:rsidR="00313E36" w:rsidRPr="00313E3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Details of each unit’s contribution, and sources and uses of funds, i</w:t>
      </w:r>
      <w:r w:rsidR="00892AF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s typically provided in the MOU.</w:t>
      </w:r>
    </w:p>
    <w:p w14:paraId="0A718CD7" w14:textId="77777777" w:rsidR="009E2A33" w:rsidRDefault="007A208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</w:rPr>
        <w:tab/>
      </w:r>
    </w:p>
    <w:p w14:paraId="4134DB10" w14:textId="77777777" w:rsidR="009E2A33" w:rsidRPr="00D4108E" w:rsidRDefault="009E2A33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504CCD6F" w14:textId="73B48F27" w:rsidR="00826C1A" w:rsidRDefault="00826C1A" w:rsidP="00543E15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826C1A">
        <w:rPr>
          <w:rFonts w:ascii="Times New Roman" w:hAnsi="Times New Roman" w:cs="Times New Roman"/>
          <w:b/>
          <w:sz w:val="24"/>
          <w:szCs w:val="24"/>
        </w:rPr>
        <w:t>Intellectual Property:</w:t>
      </w:r>
      <w:r w:rsidRPr="00826C1A">
        <w:rPr>
          <w:rFonts w:ascii="Times New Roman" w:hAnsi="Times New Roman" w:cs="Times New Roman"/>
          <w:b/>
          <w:sz w:val="24"/>
          <w:szCs w:val="24"/>
        </w:rPr>
        <w:tab/>
      </w:r>
      <w:r w:rsidRPr="00391A58">
        <w:rPr>
          <w:rFonts w:ascii="Times New Roman" w:hAnsi="Times New Roman" w:cs="Times New Roman"/>
          <w:sz w:val="24"/>
          <w:szCs w:val="24"/>
        </w:rPr>
        <w:t>IP and licensing agreements and revenues will be attributed to &lt;Department/School/Institute/Center&gt;</w:t>
      </w:r>
      <w:r w:rsidR="00391A58">
        <w:rPr>
          <w:rFonts w:ascii="Times New Roman" w:hAnsi="Times New Roman" w:cs="Times New Roman"/>
          <w:sz w:val="24"/>
          <w:szCs w:val="24"/>
        </w:rPr>
        <w:t>.</w:t>
      </w:r>
    </w:p>
    <w:p w14:paraId="5C255849" w14:textId="7459BCBA" w:rsidR="00B03CF2" w:rsidRDefault="009E2A33" w:rsidP="00826C1A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 w:rsidRPr="009E2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2A3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How IP/licensing revenues, and allocations for school and department will be distributed</w:t>
      </w:r>
      <w:r w:rsidR="00B03CF2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.  </w:t>
      </w:r>
      <w:r w:rsidR="00CB0425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All can go to one unit, or they can</w:t>
      </w:r>
      <w:r w:rsidR="00574984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be shared</w:t>
      </w:r>
      <w:r w:rsidR="00CB0425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</w:t>
      </w:r>
      <w:r w:rsidR="00CB0425" w:rsidRPr="00CB0425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proportionally according to the total financial contributions provided by each school</w:t>
      </w:r>
    </w:p>
    <w:p w14:paraId="2D71FE3B" w14:textId="6DEA2621" w:rsidR="00826C1A" w:rsidRPr="00B03CF2" w:rsidRDefault="00B03CF2" w:rsidP="00B03CF2">
      <w:pPr>
        <w:pStyle w:val="ListParagraph"/>
        <w:numPr>
          <w:ilvl w:val="0"/>
          <w:numId w:val="4"/>
        </w:numPr>
        <w:tabs>
          <w:tab w:val="left" w:pos="288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CF2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For units without departments, </w:t>
      </w:r>
      <w:r w:rsidR="00892AF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the unit</w:t>
      </w:r>
      <w:r w:rsidRPr="00B03CF2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can receive the allocations for both the school and department.</w:t>
      </w:r>
    </w:p>
    <w:p w14:paraId="01EC19A0" w14:textId="70A95F02" w:rsidR="009E2A33" w:rsidRDefault="009E2A33" w:rsidP="000F4E4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EC30B" w14:textId="77777777" w:rsidR="000F4E40" w:rsidRDefault="000F4E40" w:rsidP="000F4E4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FBDF4" w14:textId="2CD973D6" w:rsidR="00782BF8" w:rsidRPr="00D4108E" w:rsidRDefault="00782BF8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Voting Privileges:</w:t>
      </w:r>
      <w:r w:rsidRPr="00D4108E">
        <w:rPr>
          <w:rFonts w:ascii="Times New Roman" w:hAnsi="Times New Roman" w:cs="Times New Roman"/>
          <w:b/>
          <w:sz w:val="24"/>
          <w:szCs w:val="24"/>
        </w:rPr>
        <w:tab/>
      </w:r>
      <w:r w:rsidR="00195336" w:rsidRPr="00195336">
        <w:rPr>
          <w:rFonts w:ascii="Times New Roman" w:hAnsi="Times New Roman" w:cs="Times New Roman"/>
          <w:sz w:val="24"/>
          <w:szCs w:val="24"/>
        </w:rPr>
        <w:t>Prof./Dr. XXX</w:t>
      </w:r>
      <w:r w:rsidR="00195336">
        <w:rPr>
          <w:rFonts w:ascii="Times New Roman" w:hAnsi="Times New Roman" w:cs="Times New Roman"/>
          <w:sz w:val="24"/>
          <w:szCs w:val="24"/>
        </w:rPr>
        <w:t xml:space="preserve"> </w:t>
      </w:r>
      <w:r w:rsidRPr="00D4108E">
        <w:rPr>
          <w:rFonts w:ascii="Times New Roman" w:hAnsi="Times New Roman" w:cs="Times New Roman"/>
          <w:sz w:val="24"/>
          <w:szCs w:val="24"/>
        </w:rPr>
        <w:t>will have voting privileges in the &lt;Department/ School/Institute/Center&gt; according to the Stated Rules of the &lt;name of school</w:t>
      </w:r>
      <w:r w:rsidR="00193CBE">
        <w:rPr>
          <w:rFonts w:ascii="Times New Roman" w:hAnsi="Times New Roman" w:cs="Times New Roman"/>
          <w:sz w:val="24"/>
          <w:szCs w:val="24"/>
        </w:rPr>
        <w:t>&gt;</w:t>
      </w:r>
      <w:r w:rsidRPr="00D4108E">
        <w:rPr>
          <w:rFonts w:ascii="Times New Roman" w:hAnsi="Times New Roman" w:cs="Times New Roman"/>
          <w:sz w:val="24"/>
          <w:szCs w:val="24"/>
        </w:rPr>
        <w:t xml:space="preserve"> or By-Laws of the &lt;name of Department/Institute/Center&gt;</w:t>
      </w:r>
    </w:p>
    <w:p w14:paraId="604727A3" w14:textId="77777777" w:rsidR="00782BF8" w:rsidRPr="00D4108E" w:rsidRDefault="00782BF8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3A396456" w14:textId="1004EC87" w:rsidR="00782BF8" w:rsidRPr="00543E15" w:rsidRDefault="00782BF8" w:rsidP="00543E15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Faculty Council</w:t>
      </w:r>
      <w:r w:rsidR="00574984">
        <w:rPr>
          <w:rFonts w:ascii="Times New Roman" w:hAnsi="Times New Roman" w:cs="Times New Roman"/>
          <w:b/>
          <w:sz w:val="24"/>
          <w:szCs w:val="24"/>
        </w:rPr>
        <w:t>/Assembly</w:t>
      </w:r>
      <w:r w:rsidRPr="00D4108E">
        <w:rPr>
          <w:rFonts w:ascii="Times New Roman" w:hAnsi="Times New Roman" w:cs="Times New Roman"/>
          <w:b/>
          <w:sz w:val="24"/>
          <w:szCs w:val="24"/>
        </w:rPr>
        <w:t>:</w:t>
      </w:r>
      <w:r w:rsidRPr="00D4108E">
        <w:rPr>
          <w:rFonts w:ascii="Times New Roman" w:hAnsi="Times New Roman" w:cs="Times New Roman"/>
          <w:b/>
          <w:sz w:val="24"/>
          <w:szCs w:val="24"/>
        </w:rPr>
        <w:tab/>
      </w:r>
      <w:r w:rsidR="00543E15" w:rsidRPr="00543E15">
        <w:rPr>
          <w:rFonts w:ascii="Times New Roman" w:hAnsi="Times New Roman" w:cs="Times New Roman"/>
          <w:sz w:val="24"/>
          <w:szCs w:val="24"/>
        </w:rPr>
        <w:t>With regards to the determination of departmental representation on the Faculty Council</w:t>
      </w:r>
      <w:r w:rsidR="00574984">
        <w:rPr>
          <w:rFonts w:ascii="Times New Roman" w:hAnsi="Times New Roman" w:cs="Times New Roman"/>
          <w:sz w:val="24"/>
          <w:szCs w:val="24"/>
        </w:rPr>
        <w:t>/Assembly</w:t>
      </w:r>
      <w:r w:rsidR="00543E15" w:rsidRPr="00543E15">
        <w:rPr>
          <w:rFonts w:ascii="Times New Roman" w:hAnsi="Times New Roman" w:cs="Times New Roman"/>
          <w:sz w:val="24"/>
          <w:szCs w:val="24"/>
        </w:rPr>
        <w:t xml:space="preserve">, </w:t>
      </w:r>
      <w:r w:rsidR="00195336" w:rsidRPr="00195336">
        <w:rPr>
          <w:rFonts w:ascii="Times New Roman" w:hAnsi="Times New Roman" w:cs="Times New Roman"/>
          <w:sz w:val="24"/>
          <w:szCs w:val="24"/>
        </w:rPr>
        <w:t xml:space="preserve">Prof./Dr. XXX </w:t>
      </w:r>
      <w:r w:rsidR="00543E15" w:rsidRPr="00543E15">
        <w:rPr>
          <w:rFonts w:ascii="Times New Roman" w:hAnsi="Times New Roman" w:cs="Times New Roman"/>
          <w:sz w:val="24"/>
          <w:szCs w:val="24"/>
        </w:rPr>
        <w:t>shall be counted as a member of Department X.</w:t>
      </w:r>
    </w:p>
    <w:p w14:paraId="65C213B8" w14:textId="215CD8EA" w:rsidR="00543E15" w:rsidRPr="00543E15" w:rsidRDefault="00543E15" w:rsidP="00543E15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ab/>
      </w:r>
      <w:r w:rsidRPr="00543E15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CUIMC only</w:t>
      </w:r>
    </w:p>
    <w:p w14:paraId="46CAF7FB" w14:textId="77777777" w:rsidR="00B36017" w:rsidRPr="00D4108E" w:rsidRDefault="00B36017" w:rsidP="00D4108E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14:paraId="73982F9F" w14:textId="53DCF420" w:rsidR="005D517E" w:rsidRDefault="00B36017" w:rsidP="00B363AA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b/>
          <w:sz w:val="24"/>
          <w:szCs w:val="24"/>
        </w:rPr>
        <w:t>Term</w:t>
      </w:r>
      <w:r w:rsidR="003476E9" w:rsidRPr="00D4108E">
        <w:rPr>
          <w:rFonts w:ascii="Times New Roman" w:hAnsi="Times New Roman" w:cs="Times New Roman"/>
          <w:b/>
          <w:sz w:val="24"/>
          <w:szCs w:val="24"/>
        </w:rPr>
        <w:t>s</w:t>
      </w:r>
      <w:r w:rsidRPr="00D4108E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D517E" w:rsidRPr="00D4108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D4108E">
        <w:rPr>
          <w:rFonts w:ascii="Times New Roman" w:hAnsi="Times New Roman" w:cs="Times New Roman"/>
          <w:b/>
          <w:sz w:val="24"/>
          <w:szCs w:val="24"/>
        </w:rPr>
        <w:t>Agreement:</w:t>
      </w:r>
      <w:r w:rsidR="005D517E" w:rsidRPr="00D4108E">
        <w:rPr>
          <w:rFonts w:ascii="Times New Roman" w:hAnsi="Times New Roman" w:cs="Times New Roman"/>
          <w:sz w:val="24"/>
          <w:szCs w:val="24"/>
        </w:rPr>
        <w:tab/>
      </w:r>
      <w:r w:rsidR="006C61F0" w:rsidRPr="006C61F0">
        <w:rPr>
          <w:rFonts w:ascii="Times New Roman" w:hAnsi="Times New Roman" w:cs="Times New Roman"/>
          <w:sz w:val="24"/>
          <w:szCs w:val="24"/>
        </w:rPr>
        <w:t>The Agreement shall remain in force with the agreement of all parties. The Agreement shall not violate the by-laws of the participating departments.</w:t>
      </w:r>
    </w:p>
    <w:p w14:paraId="5E8E5F0B" w14:textId="0B71EE8E" w:rsidR="00195336" w:rsidRPr="00195336" w:rsidRDefault="00195336" w:rsidP="00B363AA">
      <w:pPr>
        <w:tabs>
          <w:tab w:val="left" w:pos="2880"/>
        </w:tabs>
        <w:spacing w:after="0" w:line="240" w:lineRule="auto"/>
        <w:ind w:left="2880" w:hanging="2880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33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However, schools/departments can agree on provisions to re-visit the agreement in the future, recognizing that fields of research and/or organizational structures may </w:t>
      </w:r>
      <w:r w:rsidR="00726A4B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>evolve</w:t>
      </w:r>
      <w:r w:rsidR="00726A4B" w:rsidRPr="0019533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</w:t>
      </w:r>
      <w:r w:rsidRPr="00195336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over time. </w:t>
      </w:r>
    </w:p>
    <w:p w14:paraId="3067E5FE" w14:textId="77777777" w:rsidR="005D517E" w:rsidRDefault="005D517E" w:rsidP="00D4108E">
      <w:pPr>
        <w:tabs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CEF053C" w14:textId="77777777" w:rsidR="00DB1E8D" w:rsidRDefault="00DB1E8D" w:rsidP="006C61F0">
      <w:pPr>
        <w:pStyle w:val="ListParagraph"/>
        <w:widowControl w:val="0"/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89EF9" w14:textId="77777777" w:rsidR="00DB1E8D" w:rsidRPr="00D4108E" w:rsidRDefault="00DB1E8D" w:rsidP="00D4108E">
      <w:pPr>
        <w:tabs>
          <w:tab w:val="left" w:pos="288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7E77793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4108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5E2EFF6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 xml:space="preserve">&lt;name&gt;        </w:t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E1C74A1" w14:textId="77777777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Chair, Department of &lt;name&gt;</w:t>
      </w:r>
    </w:p>
    <w:p w14:paraId="74B30A2B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39A10FB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  <w:lang w:val="it-IT"/>
        </w:rPr>
      </w:pPr>
      <w:r w:rsidRPr="00D4108E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</w:t>
      </w:r>
    </w:p>
    <w:p w14:paraId="188A1C51" w14:textId="2D3D9FB3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  <w:lang w:val="it-IT"/>
        </w:rPr>
        <w:t>&lt;name&gt;</w:t>
      </w:r>
      <w:r w:rsidRPr="00D4108E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Pr="00D4108E" w:rsidDel="00C54B3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>Date</w:t>
      </w:r>
    </w:p>
    <w:p w14:paraId="056D0C92" w14:textId="77777777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D4108E">
        <w:rPr>
          <w:rFonts w:ascii="Times New Roman" w:hAnsi="Times New Roman" w:cs="Times New Roman"/>
          <w:bCs/>
          <w:sz w:val="24"/>
          <w:szCs w:val="24"/>
          <w:lang w:val="pt-PT"/>
        </w:rPr>
        <w:t>Director, Institute/Center &lt;name&gt;</w:t>
      </w:r>
    </w:p>
    <w:p w14:paraId="4387F8E8" w14:textId="77777777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14:paraId="5264BB24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  <w:lang w:val="it-IT"/>
        </w:rPr>
      </w:pPr>
      <w:r w:rsidRPr="00D4108E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</w:t>
      </w:r>
    </w:p>
    <w:p w14:paraId="7D6C2C44" w14:textId="30247064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  <w:lang w:val="it-IT"/>
        </w:rPr>
        <w:t>&lt;name&gt;</w:t>
      </w:r>
      <w:r w:rsidRPr="00D4108E">
        <w:rPr>
          <w:rFonts w:ascii="Times New Roman" w:hAnsi="Times New Roman" w:cs="Times New Roman"/>
          <w:bCs/>
          <w:sz w:val="24"/>
          <w:szCs w:val="24"/>
          <w:lang w:val="pt-PT"/>
        </w:rPr>
        <w:tab/>
      </w:r>
      <w:r w:rsidRPr="00D4108E" w:rsidDel="00C54B3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108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>Date</w:t>
      </w:r>
    </w:p>
    <w:p w14:paraId="39EB24E4" w14:textId="77777777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D4108E">
        <w:rPr>
          <w:rFonts w:ascii="Times New Roman" w:hAnsi="Times New Roman" w:cs="Times New Roman"/>
          <w:bCs/>
          <w:sz w:val="24"/>
          <w:szCs w:val="24"/>
          <w:lang w:val="pt-PT"/>
        </w:rPr>
        <w:t>Dean, School &lt;name&gt;</w:t>
      </w:r>
    </w:p>
    <w:p w14:paraId="0CF2FFCB" w14:textId="77777777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14:paraId="614BD4BA" w14:textId="77777777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ab/>
      </w:r>
    </w:p>
    <w:p w14:paraId="352CD670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4108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42B4BA0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&lt;name&gt;</w:t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C00F0CC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 xml:space="preserve">Executive Vice President for &lt;name&gt; </w:t>
      </w:r>
    </w:p>
    <w:p w14:paraId="2B229A60" w14:textId="77777777" w:rsidR="005D517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Dean of the Faculty of &lt;name&gt;</w:t>
      </w:r>
    </w:p>
    <w:p w14:paraId="2FA74FAD" w14:textId="77777777" w:rsidR="002E0F3A" w:rsidRDefault="002E0F3A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AC502BC" w14:textId="77777777" w:rsidR="002E0F3A" w:rsidRDefault="002E0F3A" w:rsidP="002E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C908A61" w14:textId="57CFD256" w:rsidR="002E0F3A" w:rsidRPr="00D4108E" w:rsidRDefault="002E0F3A" w:rsidP="002E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4108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0196694" w14:textId="77777777" w:rsidR="002E0F3A" w:rsidRPr="00D4108E" w:rsidRDefault="002E0F3A" w:rsidP="002E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&lt;name&gt;</w:t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9813693" w14:textId="68BF5B2E" w:rsidR="002E0F3A" w:rsidRPr="00D4108E" w:rsidRDefault="002E0F3A" w:rsidP="002E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</w:t>
      </w:r>
      <w:r w:rsidR="005F62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Provost</w:t>
      </w:r>
    </w:p>
    <w:p w14:paraId="0D177428" w14:textId="4BD8BB3B" w:rsidR="002E0F3A" w:rsidRPr="00D4108E" w:rsidRDefault="002E0F3A" w:rsidP="002E0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Appointments</w:t>
      </w:r>
    </w:p>
    <w:p w14:paraId="1AE69FE3" w14:textId="77777777" w:rsidR="002E0F3A" w:rsidRPr="00D4108E" w:rsidRDefault="002E0F3A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EA9B5F6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FB68B16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4108E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902BA55" w14:textId="00F8886B" w:rsidR="005D517E" w:rsidRPr="00D4108E" w:rsidRDefault="005D517E" w:rsidP="00D4108E">
      <w:pPr>
        <w:tabs>
          <w:tab w:val="left" w:pos="288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&lt;name&gt;</w:t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</w:r>
      <w:r w:rsidRPr="00D4108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8B34BEE" w14:textId="77777777" w:rsidR="005D517E" w:rsidRPr="00D4108E" w:rsidRDefault="005D517E" w:rsidP="00D41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4108E">
        <w:rPr>
          <w:rFonts w:ascii="Times New Roman" w:hAnsi="Times New Roman" w:cs="Times New Roman"/>
          <w:sz w:val="24"/>
          <w:szCs w:val="24"/>
        </w:rPr>
        <w:t>Faculty’s current title</w:t>
      </w:r>
    </w:p>
    <w:sectPr w:rsidR="005D517E" w:rsidRPr="00D4108E" w:rsidSect="00DA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404E"/>
    <w:multiLevelType w:val="hybridMultilevel"/>
    <w:tmpl w:val="D15648CA"/>
    <w:lvl w:ilvl="0" w:tplc="E0E44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3A34"/>
    <w:multiLevelType w:val="hybridMultilevel"/>
    <w:tmpl w:val="5090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0D2E"/>
    <w:multiLevelType w:val="hybridMultilevel"/>
    <w:tmpl w:val="99CCA3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B222A0F"/>
    <w:multiLevelType w:val="hybridMultilevel"/>
    <w:tmpl w:val="788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603090">
    <w:abstractNumId w:val="0"/>
  </w:num>
  <w:num w:numId="2" w16cid:durableId="624625240">
    <w:abstractNumId w:val="1"/>
  </w:num>
  <w:num w:numId="3" w16cid:durableId="1704207562">
    <w:abstractNumId w:val="3"/>
  </w:num>
  <w:num w:numId="4" w16cid:durableId="175966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17"/>
    <w:rsid w:val="000F4E40"/>
    <w:rsid w:val="00193CBE"/>
    <w:rsid w:val="00195336"/>
    <w:rsid w:val="001A086C"/>
    <w:rsid w:val="001A1317"/>
    <w:rsid w:val="001F4151"/>
    <w:rsid w:val="0026223F"/>
    <w:rsid w:val="002872B9"/>
    <w:rsid w:val="00293286"/>
    <w:rsid w:val="002D11FD"/>
    <w:rsid w:val="002D346E"/>
    <w:rsid w:val="002E0F3A"/>
    <w:rsid w:val="003022EF"/>
    <w:rsid w:val="00313E36"/>
    <w:rsid w:val="00322BFC"/>
    <w:rsid w:val="003307F1"/>
    <w:rsid w:val="003476E9"/>
    <w:rsid w:val="0037054F"/>
    <w:rsid w:val="00387FCA"/>
    <w:rsid w:val="00391A58"/>
    <w:rsid w:val="0041487C"/>
    <w:rsid w:val="00450067"/>
    <w:rsid w:val="004C2C61"/>
    <w:rsid w:val="004D54D3"/>
    <w:rsid w:val="005428BF"/>
    <w:rsid w:val="00543E15"/>
    <w:rsid w:val="00574984"/>
    <w:rsid w:val="005D517E"/>
    <w:rsid w:val="005F62B7"/>
    <w:rsid w:val="00663413"/>
    <w:rsid w:val="006714A5"/>
    <w:rsid w:val="006C61F0"/>
    <w:rsid w:val="006E2FF0"/>
    <w:rsid w:val="00720A46"/>
    <w:rsid w:val="00726A4B"/>
    <w:rsid w:val="0074682A"/>
    <w:rsid w:val="00764A8A"/>
    <w:rsid w:val="00782BF8"/>
    <w:rsid w:val="007A0EED"/>
    <w:rsid w:val="007A2083"/>
    <w:rsid w:val="00826C1A"/>
    <w:rsid w:val="00892AF6"/>
    <w:rsid w:val="008E2245"/>
    <w:rsid w:val="008F68E6"/>
    <w:rsid w:val="009300A1"/>
    <w:rsid w:val="009E2A33"/>
    <w:rsid w:val="00AB4065"/>
    <w:rsid w:val="00B03CF2"/>
    <w:rsid w:val="00B36017"/>
    <w:rsid w:val="00B363AA"/>
    <w:rsid w:val="00B54956"/>
    <w:rsid w:val="00B913F3"/>
    <w:rsid w:val="00BD226C"/>
    <w:rsid w:val="00BE0FBC"/>
    <w:rsid w:val="00C67341"/>
    <w:rsid w:val="00C70249"/>
    <w:rsid w:val="00CB0425"/>
    <w:rsid w:val="00CD77B5"/>
    <w:rsid w:val="00D06400"/>
    <w:rsid w:val="00D4108E"/>
    <w:rsid w:val="00D72535"/>
    <w:rsid w:val="00DA2DE9"/>
    <w:rsid w:val="00DB1E8D"/>
    <w:rsid w:val="00DD4E17"/>
    <w:rsid w:val="00E04246"/>
    <w:rsid w:val="00E37BE7"/>
    <w:rsid w:val="00EA2477"/>
    <w:rsid w:val="00EA4E25"/>
    <w:rsid w:val="00EA6A01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FAB1"/>
  <w15:chartTrackingRefBased/>
  <w15:docId w15:val="{B14FD0E2-3BE6-4928-8B48-75A40A0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E8D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CommentReference">
    <w:name w:val="annotation reference"/>
    <w:rsid w:val="00B913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3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17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DeLeon</dc:creator>
  <cp:keywords/>
  <dc:description/>
  <cp:lastModifiedBy>Anna Makkar</cp:lastModifiedBy>
  <cp:revision>2</cp:revision>
  <dcterms:created xsi:type="dcterms:W3CDTF">2023-08-21T16:10:00Z</dcterms:created>
  <dcterms:modified xsi:type="dcterms:W3CDTF">2023-08-21T16:10:00Z</dcterms:modified>
</cp:coreProperties>
</file>